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before="0" w:beforeAutospacing="0" w:after="0" w:afterAutospacing="0"/>
        <w:ind w:right="0"/>
        <w:jc w:val="center"/>
        <w:rPr>
          <w:rFonts w:hint="eastAsia" w:ascii="仿宋" w:hAnsi="仿宋" w:eastAsia="仿宋" w:cs="Times New Roman"/>
          <w:b/>
          <w:bCs w:val="0"/>
          <w:kern w:val="0"/>
          <w:sz w:val="28"/>
          <w:szCs w:val="28"/>
          <w:lang w:val="en-US" w:eastAsia="zh-CN" w:bidi="ar-SA"/>
        </w:rPr>
      </w:pPr>
      <w:r>
        <w:rPr>
          <w:rFonts w:hint="eastAsia" w:ascii="仿宋" w:hAnsi="仿宋" w:eastAsia="仿宋" w:cs="Times New Roman"/>
          <w:b/>
          <w:bCs w:val="0"/>
          <w:kern w:val="0"/>
          <w:sz w:val="28"/>
          <w:szCs w:val="28"/>
          <w:lang w:val="en-US" w:eastAsia="zh-CN" w:bidi="ar-SA"/>
        </w:rPr>
        <w:t>南京宝色股份公司卫生间改造项目</w:t>
      </w:r>
    </w:p>
    <w:p>
      <w:pPr>
        <w:pStyle w:val="5"/>
        <w:keepNext w:val="0"/>
        <w:keepLines w:val="0"/>
        <w:widowControl/>
        <w:suppressLineNumbers w:val="0"/>
        <w:spacing w:before="0" w:beforeAutospacing="0" w:after="0" w:afterAutospacing="0"/>
        <w:ind w:right="0"/>
        <w:jc w:val="center"/>
        <w:rPr>
          <w:rFonts w:hint="eastAsia" w:ascii="仿宋_GB2312" w:hAnsi="仿宋_GB2312" w:eastAsia="仿宋_GB2312" w:cs="仿宋_GB2312"/>
          <w:b/>
          <w:bCs/>
          <w:sz w:val="44"/>
          <w:szCs w:val="44"/>
        </w:rPr>
      </w:pPr>
      <w:r>
        <w:rPr>
          <w:rFonts w:hint="eastAsia" w:ascii="仿宋_GB2312" w:hAnsi="仿宋_GB2312" w:eastAsia="仿宋_GB2312" w:cs="仿宋_GB2312"/>
          <w:b/>
          <w:bCs/>
          <w:sz w:val="52"/>
          <w:szCs w:val="52"/>
          <w:lang w:val="en-US" w:eastAsia="zh-CN"/>
        </w:rPr>
        <w:t>清单及最高限价</w:t>
      </w:r>
      <w:r>
        <w:rPr>
          <w:rFonts w:hint="eastAsia" w:ascii="仿宋_GB2312" w:hAnsi="仿宋_GB2312" w:eastAsia="仿宋_GB2312" w:cs="仿宋_GB2312"/>
          <w:b/>
          <w:bCs/>
          <w:sz w:val="52"/>
          <w:szCs w:val="52"/>
        </w:rPr>
        <w:t>编制说明</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b/>
          <w:bCs/>
          <w:sz w:val="28"/>
          <w:szCs w:val="28"/>
        </w:rPr>
      </w:pPr>
      <w:r>
        <w:rPr>
          <w:rFonts w:hint="eastAsia" w:ascii="仿宋" w:hAnsi="仿宋" w:eastAsia="仿宋"/>
          <w:b/>
          <w:sz w:val="28"/>
          <w:szCs w:val="28"/>
        </w:rPr>
        <w:t>一、工程概况：</w:t>
      </w:r>
    </w:p>
    <w:p>
      <w:pPr>
        <w:ind w:firstLine="560" w:firstLineChars="200"/>
        <w:jc w:val="left"/>
        <w:rPr>
          <w:rFonts w:hint="default" w:ascii="仿宋" w:hAnsi="仿宋" w:eastAsia="仿宋" w:cs="Times New Roman"/>
          <w:b/>
          <w:bCs w:val="0"/>
          <w:kern w:val="0"/>
          <w:sz w:val="28"/>
          <w:szCs w:val="28"/>
          <w:lang w:val="en-US" w:eastAsia="zh-CN" w:bidi="ar-SA"/>
        </w:rPr>
      </w:pPr>
      <w:r>
        <w:rPr>
          <w:rFonts w:ascii="仿宋" w:hAnsi="仿宋" w:eastAsia="仿宋"/>
          <w:sz w:val="28"/>
          <w:szCs w:val="28"/>
        </w:rPr>
        <w:t>1</w:t>
      </w:r>
      <w:r>
        <w:rPr>
          <w:rFonts w:hint="eastAsia" w:ascii="仿宋" w:hAnsi="仿宋" w:eastAsia="仿宋"/>
          <w:sz w:val="28"/>
          <w:szCs w:val="28"/>
        </w:rPr>
        <w:t>、项目名称：</w:t>
      </w:r>
      <w:r>
        <w:rPr>
          <w:rFonts w:hint="eastAsia" w:ascii="仿宋" w:hAnsi="仿宋" w:eastAsia="仿宋" w:cs="Times New Roman"/>
          <w:b/>
          <w:bCs w:val="0"/>
          <w:kern w:val="0"/>
          <w:sz w:val="28"/>
          <w:szCs w:val="28"/>
          <w:lang w:val="en-US" w:eastAsia="zh-CN" w:bidi="ar-SA"/>
        </w:rPr>
        <w:t>南京宝色股份公司卫生间改造项目</w:t>
      </w:r>
    </w:p>
    <w:p>
      <w:pPr>
        <w:pStyle w:val="5"/>
        <w:keepNext w:val="0"/>
        <w:keepLines w:val="0"/>
        <w:widowControl/>
        <w:suppressLineNumbers w:val="0"/>
        <w:spacing w:before="0" w:beforeAutospacing="0" w:after="0" w:afterAutospacing="0"/>
        <w:ind w:left="0" w:right="0" w:firstLine="560" w:firstLineChars="200"/>
        <w:rPr>
          <w:rFonts w:hint="default" w:ascii="仿宋" w:hAnsi="仿宋" w:eastAsia="仿宋" w:cs="Times New Roman"/>
          <w:kern w:val="2"/>
          <w:sz w:val="28"/>
          <w:szCs w:val="28"/>
          <w:lang w:val="en-US" w:eastAsia="zh-CN" w:bidi="ar-SA"/>
        </w:rPr>
      </w:pPr>
      <w:r>
        <w:rPr>
          <w:rFonts w:ascii="仿宋" w:hAnsi="仿宋" w:eastAsia="仿宋"/>
          <w:bCs/>
          <w:sz w:val="28"/>
          <w:szCs w:val="28"/>
        </w:rPr>
        <w:t>2</w:t>
      </w:r>
      <w:r>
        <w:rPr>
          <w:rFonts w:hint="eastAsia" w:ascii="仿宋" w:hAnsi="仿宋" w:eastAsia="仿宋"/>
          <w:bCs/>
          <w:sz w:val="28"/>
          <w:szCs w:val="28"/>
        </w:rPr>
        <w:t>、工程地点：</w:t>
      </w:r>
      <w:r>
        <w:rPr>
          <w:rFonts w:hint="eastAsia" w:ascii="仿宋" w:hAnsi="仿宋" w:eastAsia="仿宋"/>
          <w:bCs/>
          <w:sz w:val="28"/>
          <w:szCs w:val="28"/>
          <w:lang w:val="en-US" w:eastAsia="zh-CN"/>
        </w:rPr>
        <w:t>江苏省南京市江宁区南京宝色厂区</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仿宋" w:hAnsi="仿宋" w:eastAsia="仿宋" w:cs="Times New Roman"/>
          <w:bCs/>
          <w:kern w:val="0"/>
          <w:sz w:val="28"/>
          <w:szCs w:val="28"/>
          <w:lang w:val="en-US" w:eastAsia="zh-CN" w:bidi="ar-SA"/>
        </w:rPr>
      </w:pPr>
      <w:r>
        <w:rPr>
          <w:rFonts w:hint="eastAsia" w:ascii="仿宋" w:hAnsi="仿宋" w:eastAsia="仿宋" w:cs="Times New Roman"/>
          <w:bCs/>
          <w:kern w:val="0"/>
          <w:sz w:val="28"/>
          <w:szCs w:val="28"/>
          <w:lang w:val="en-US" w:eastAsia="zh-CN" w:bidi="ar-SA"/>
        </w:rPr>
        <w:t>3、工程范围：食堂厕所、2#厂房厕所、3#厂房厕所、4#厂房厕所拆除改造等。</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b/>
          <w:sz w:val="28"/>
          <w:szCs w:val="28"/>
        </w:rPr>
      </w:pPr>
      <w:r>
        <w:rPr>
          <w:rFonts w:hint="eastAsia" w:ascii="仿宋" w:hAnsi="仿宋" w:eastAsia="仿宋"/>
          <w:b/>
          <w:sz w:val="28"/>
          <w:szCs w:val="28"/>
          <w:lang w:val="en-US" w:eastAsia="zh-CN"/>
        </w:rPr>
        <w:t>二</w:t>
      </w:r>
      <w:r>
        <w:rPr>
          <w:rFonts w:hint="eastAsia" w:ascii="仿宋" w:hAnsi="仿宋" w:eastAsia="仿宋"/>
          <w:b/>
          <w:sz w:val="28"/>
          <w:szCs w:val="28"/>
        </w:rPr>
        <w:t>、编制依据：</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仿宋" w:hAnsi="仿宋" w:eastAsia="仿宋" w:cs="Times New Roman"/>
          <w:sz w:val="28"/>
          <w:szCs w:val="28"/>
          <w:lang w:val="en-US" w:eastAsia="zh-CN"/>
        </w:rPr>
      </w:pPr>
      <w:r>
        <w:rPr>
          <w:rFonts w:hint="default" w:ascii="仿宋" w:hAnsi="仿宋" w:eastAsia="仿宋" w:cs="Times New Roman"/>
          <w:sz w:val="28"/>
          <w:szCs w:val="28"/>
          <w:lang w:val="en-US" w:eastAsia="zh-CN"/>
        </w:rPr>
        <w:t>1</w:t>
      </w:r>
      <w:r>
        <w:rPr>
          <w:rFonts w:hint="eastAsia" w:ascii="仿宋" w:hAnsi="仿宋" w:eastAsia="仿宋" w:cs="Times New Roman"/>
          <w:sz w:val="28"/>
          <w:szCs w:val="28"/>
          <w:lang w:val="en-US" w:eastAsia="zh-CN"/>
        </w:rPr>
        <w:t>、本工程施工图纸、选定的相关标准图集、图纸答疑、及技术规范，相关国家和江苏省建筑施工规范；</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仿宋" w:hAnsi="仿宋" w:eastAsia="仿宋" w:cs="Times New Roman"/>
          <w:sz w:val="28"/>
          <w:szCs w:val="28"/>
          <w:lang w:val="en-US" w:eastAsia="zh-CN"/>
        </w:rPr>
      </w:pPr>
      <w:r>
        <w:rPr>
          <w:rFonts w:hint="default" w:ascii="仿宋" w:hAnsi="仿宋" w:eastAsia="仿宋" w:cs="Times New Roman"/>
          <w:sz w:val="28"/>
          <w:szCs w:val="28"/>
          <w:lang w:val="en-US" w:eastAsia="zh-CN"/>
        </w:rPr>
        <w:t>2</w:t>
      </w:r>
      <w:r>
        <w:rPr>
          <w:rFonts w:hint="eastAsia" w:ascii="仿宋" w:hAnsi="仿宋" w:eastAsia="仿宋" w:cs="Times New Roman"/>
          <w:sz w:val="28"/>
          <w:szCs w:val="28"/>
          <w:lang w:val="en-US" w:eastAsia="zh-CN"/>
        </w:rPr>
        <w:t>、《工程量清单项目计量规范（2013-江苏）》、《江苏省建筑与装饰工程计价定额（</w:t>
      </w:r>
      <w:r>
        <w:rPr>
          <w:rFonts w:hint="default" w:ascii="仿宋" w:hAnsi="仿宋" w:eastAsia="仿宋" w:cs="Times New Roman"/>
          <w:sz w:val="28"/>
          <w:szCs w:val="28"/>
          <w:lang w:val="en-US" w:eastAsia="zh-CN"/>
        </w:rPr>
        <w:t>20</w:t>
      </w:r>
      <w:r>
        <w:rPr>
          <w:rFonts w:hint="eastAsia" w:ascii="仿宋" w:hAnsi="仿宋" w:eastAsia="仿宋" w:cs="Times New Roman"/>
          <w:sz w:val="28"/>
          <w:szCs w:val="28"/>
          <w:lang w:val="en-US" w:eastAsia="zh-CN"/>
        </w:rPr>
        <w:t>14）》及其他相关的计价依据和办法；《江苏省市政工程计价定额》；《江苏省安装工程计价定额》（2014）；《江苏省修缮工程计价定额》（2014）；</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3、税率根据根据《关于深化增值税改革有关政策的公告》（财政部、税务总局、海关总署公告2019年第39号）和《住房城乡建设部办公厅关于重新调整建设工程计价依据增值税税率的通知》（建办标函〔2019〕193号）的规定文件计入；规费根据江苏省住房和城乡建设厅《关于实施安全文明施工措施费动态计价管理的公告》[2020]第11号文件计入；</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仿宋" w:hAnsi="仿宋" w:eastAsia="仿宋" w:cs="Times New Roman"/>
          <w:sz w:val="28"/>
          <w:szCs w:val="28"/>
          <w:lang w:val="en-US" w:eastAsia="zh-CN"/>
        </w:rPr>
      </w:pPr>
      <w:r>
        <w:rPr>
          <w:rFonts w:hint="eastAsia" w:ascii="仿宋" w:hAnsi="仿宋" w:eastAsia="仿宋" w:cs="Times New Roman"/>
          <w:sz w:val="28"/>
          <w:szCs w:val="28"/>
          <w:lang w:val="en-US" w:eastAsia="zh-CN"/>
        </w:rPr>
        <w:t>4、人工费根据江苏省住房和城乡建设厅现行人工调价文件执行；</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仿宋" w:hAnsi="仿宋" w:eastAsia="仿宋" w:cs="Times New Roman"/>
          <w:sz w:val="28"/>
          <w:szCs w:val="28"/>
          <w:lang w:val="en-US" w:eastAsia="zh-CN"/>
        </w:rPr>
      </w:pPr>
      <w:r>
        <w:rPr>
          <w:rFonts w:hint="eastAsia" w:ascii="仿宋" w:hAnsi="仿宋" w:eastAsia="仿宋" w:cs="Times New Roman"/>
          <w:sz w:val="28"/>
          <w:szCs w:val="28"/>
          <w:lang w:val="en-US" w:eastAsia="zh-CN"/>
        </w:rPr>
        <w:t>5、建筑工人实名制、</w:t>
      </w:r>
      <w:r>
        <w:rPr>
          <w:rFonts w:hint="default" w:ascii="仿宋" w:hAnsi="仿宋" w:eastAsia="仿宋" w:cs="Times New Roman"/>
          <w:sz w:val="28"/>
          <w:szCs w:val="28"/>
          <w:lang w:val="en-US" w:eastAsia="zh-CN"/>
        </w:rPr>
        <w:t>劳保统筹基金</w:t>
      </w:r>
      <w:r>
        <w:rPr>
          <w:rFonts w:hint="eastAsia" w:ascii="仿宋" w:hAnsi="仿宋" w:eastAsia="仿宋" w:cs="Times New Roman"/>
          <w:sz w:val="28"/>
          <w:szCs w:val="28"/>
          <w:lang w:val="en-US" w:eastAsia="zh-CN"/>
        </w:rPr>
        <w:t>按现行规定调价文件</w:t>
      </w:r>
      <w:r>
        <w:rPr>
          <w:rFonts w:hint="default" w:ascii="仿宋" w:hAnsi="仿宋" w:eastAsia="仿宋" w:cs="Times New Roman"/>
          <w:sz w:val="28"/>
          <w:szCs w:val="28"/>
          <w:lang w:val="en-US" w:eastAsia="zh-CN"/>
        </w:rPr>
        <w:t>计</w:t>
      </w:r>
      <w:r>
        <w:rPr>
          <w:rFonts w:hint="eastAsia" w:ascii="仿宋" w:hAnsi="仿宋" w:eastAsia="仿宋" w:cs="Times New Roman"/>
          <w:sz w:val="28"/>
          <w:szCs w:val="28"/>
          <w:lang w:val="en-US" w:eastAsia="zh-CN"/>
        </w:rPr>
        <w:t>入工程造价；</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仿宋" w:hAnsi="仿宋" w:eastAsia="仿宋" w:cs="Times New Roman"/>
          <w:sz w:val="28"/>
          <w:szCs w:val="28"/>
          <w:lang w:val="en-US" w:eastAsia="zh-CN"/>
        </w:rPr>
      </w:pPr>
      <w:r>
        <w:rPr>
          <w:rFonts w:hint="eastAsia" w:ascii="仿宋" w:hAnsi="仿宋" w:eastAsia="仿宋" w:cs="Times New Roman"/>
          <w:sz w:val="28"/>
          <w:szCs w:val="28"/>
          <w:lang w:val="en-US" w:eastAsia="zh-CN"/>
        </w:rPr>
        <w:t>6、编制</w:t>
      </w:r>
      <w:r>
        <w:rPr>
          <w:rFonts w:hint="eastAsia" w:ascii="仿宋" w:hAnsi="仿宋" w:eastAsia="仿宋"/>
          <w:sz w:val="28"/>
          <w:szCs w:val="28"/>
          <w:lang w:val="en-US" w:eastAsia="zh-CN"/>
        </w:rPr>
        <w:t>软件采用广联达云计价平台GCCP6.0软件，版</w:t>
      </w:r>
      <w:r>
        <w:rPr>
          <w:rFonts w:hint="eastAsia" w:ascii="仿宋" w:hAnsi="仿宋" w:eastAsia="仿宋" w:cs="Times New Roman"/>
          <w:sz w:val="28"/>
          <w:szCs w:val="28"/>
          <w:lang w:val="en-US" w:eastAsia="zh-CN"/>
        </w:rPr>
        <w:t>本号为6.4100.15.44。</w:t>
      </w:r>
    </w:p>
    <w:p>
      <w:pPr>
        <w:keepNext w:val="0"/>
        <w:keepLines w:val="0"/>
        <w:pageBreakBefore w:val="0"/>
        <w:widowControl w:val="0"/>
        <w:kinsoku/>
        <w:wordWrap/>
        <w:overflowPunct/>
        <w:topLinePunct w:val="0"/>
        <w:autoSpaceDE/>
        <w:autoSpaceDN/>
        <w:bidi w:val="0"/>
        <w:adjustRightInd/>
        <w:snapToGrid/>
        <w:spacing w:before="313" w:beforeLines="100" w:line="360" w:lineRule="auto"/>
        <w:jc w:val="left"/>
        <w:textAlignment w:val="auto"/>
        <w:rPr>
          <w:rFonts w:hint="eastAsia" w:ascii="宋体" w:cs="宋体"/>
          <w:b/>
          <w:bCs/>
          <w:sz w:val="24"/>
          <w:szCs w:val="24"/>
        </w:rPr>
      </w:pPr>
      <w:r>
        <w:rPr>
          <w:rFonts w:hint="eastAsia" w:ascii="宋体" w:cs="宋体"/>
          <w:b/>
          <w:bCs/>
          <w:sz w:val="24"/>
          <w:szCs w:val="24"/>
        </w:rPr>
        <w:t>三、</w:t>
      </w:r>
      <w:r>
        <w:rPr>
          <w:rFonts w:hint="eastAsia" w:ascii="宋体" w:cs="宋体"/>
          <w:b/>
          <w:bCs/>
          <w:sz w:val="24"/>
          <w:szCs w:val="24"/>
          <w:lang w:eastAsia="zh-CN"/>
        </w:rPr>
        <w:t>编制</w:t>
      </w:r>
      <w:r>
        <w:rPr>
          <w:rFonts w:hint="eastAsia" w:ascii="宋体" w:cs="宋体"/>
          <w:b/>
          <w:bCs/>
          <w:sz w:val="24"/>
          <w:szCs w:val="24"/>
        </w:rPr>
        <w:t>范围</w:t>
      </w:r>
    </w:p>
    <w:p>
      <w:pPr>
        <w:pStyle w:val="2"/>
        <w:keepNext w:val="0"/>
        <w:keepLines w:val="0"/>
        <w:pageBreakBefore w:val="0"/>
        <w:widowControl w:val="0"/>
        <w:kinsoku/>
        <w:wordWrap/>
        <w:overflowPunct/>
        <w:topLinePunct w:val="0"/>
        <w:autoSpaceDE/>
        <w:autoSpaceDN/>
        <w:bidi w:val="0"/>
        <w:adjustRightInd/>
        <w:spacing w:line="560" w:lineRule="exact"/>
        <w:ind w:firstLine="560" w:firstLineChars="200"/>
        <w:textAlignment w:val="auto"/>
        <w:rPr>
          <w:rFonts w:hint="default" w:ascii="仿宋" w:hAnsi="仿宋" w:eastAsia="仿宋" w:cs="Times New Roman"/>
          <w:sz w:val="28"/>
          <w:szCs w:val="28"/>
          <w:lang w:val="en-US" w:eastAsia="zh-CN"/>
        </w:rPr>
      </w:pPr>
      <w:r>
        <w:rPr>
          <w:rFonts w:hint="eastAsia" w:ascii="仿宋" w:hAnsi="仿宋" w:eastAsia="仿宋" w:cs="Times New Roman"/>
          <w:sz w:val="28"/>
          <w:szCs w:val="28"/>
          <w:lang w:val="en-US" w:eastAsia="zh-CN"/>
        </w:rPr>
        <w:t>本次计算范围为“</w:t>
      </w:r>
      <w:r>
        <w:rPr>
          <w:rFonts w:hint="eastAsia" w:ascii="仿宋" w:hAnsi="仿宋" w:eastAsia="仿宋" w:cs="Times New Roman"/>
          <w:b/>
          <w:bCs/>
          <w:kern w:val="2"/>
          <w:sz w:val="28"/>
          <w:szCs w:val="28"/>
          <w:lang w:val="en-US" w:eastAsia="zh-CN" w:bidi="ar-SA"/>
        </w:rPr>
        <w:t>南京宝色股份公司卫生间改造项目</w:t>
      </w:r>
      <w:r>
        <w:rPr>
          <w:rFonts w:hint="eastAsia" w:ascii="仿宋" w:hAnsi="仿宋" w:eastAsia="仿宋" w:cs="Times New Roman"/>
          <w:sz w:val="28"/>
          <w:szCs w:val="28"/>
          <w:lang w:val="en-US" w:eastAsia="zh-CN"/>
        </w:rPr>
        <w:t>”施工图纸。</w:t>
      </w:r>
    </w:p>
    <w:p>
      <w:pPr>
        <w:pStyle w:val="2"/>
        <w:keepNext w:val="0"/>
        <w:keepLines w:val="0"/>
        <w:pageBreakBefore w:val="0"/>
        <w:widowControl w:val="0"/>
        <w:kinsoku/>
        <w:wordWrap/>
        <w:overflowPunct/>
        <w:topLinePunct w:val="0"/>
        <w:autoSpaceDE/>
        <w:autoSpaceDN/>
        <w:bidi w:val="0"/>
        <w:adjustRightInd/>
        <w:spacing w:line="560" w:lineRule="exact"/>
        <w:textAlignment w:val="auto"/>
        <w:rPr>
          <w:rFonts w:hint="eastAsia" w:ascii="仿宋" w:hAnsi="仿宋" w:eastAsia="仿宋" w:cs="Times New Roman"/>
          <w:b/>
          <w:kern w:val="0"/>
          <w:sz w:val="28"/>
          <w:szCs w:val="28"/>
          <w:lang w:val="en-US" w:eastAsia="zh-CN" w:bidi="ar-SA"/>
        </w:rPr>
      </w:pPr>
      <w:r>
        <w:rPr>
          <w:rFonts w:hint="eastAsia" w:ascii="仿宋" w:hAnsi="仿宋" w:eastAsia="仿宋" w:cs="Times New Roman"/>
          <w:b/>
          <w:kern w:val="0"/>
          <w:sz w:val="28"/>
          <w:szCs w:val="28"/>
          <w:lang w:val="en-US" w:eastAsia="zh-CN" w:bidi="ar-SA"/>
        </w:rPr>
        <w:t>四、有关说明：</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zh-CN"/>
        </w:rPr>
        <w:t>1、本工程所有混凝土均按商品混凝土考虑，</w:t>
      </w:r>
      <w:r>
        <w:rPr>
          <w:rFonts w:hint="eastAsia" w:ascii="仿宋" w:hAnsi="仿宋" w:eastAsia="仿宋"/>
          <w:sz w:val="28"/>
          <w:szCs w:val="28"/>
          <w:lang w:val="en-US" w:eastAsia="zh-CN"/>
        </w:rPr>
        <w:t>砂浆均按现拌砂浆考虑，本工程不设材料暂定价，所有材料价格投标单位自主报价；</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Times New Roman"/>
          <w:sz w:val="28"/>
          <w:szCs w:val="28"/>
          <w:lang w:val="zh-CN" w:eastAsia="zh-CN"/>
        </w:rPr>
      </w:pPr>
      <w:r>
        <w:rPr>
          <w:rFonts w:hint="eastAsia" w:ascii="仿宋" w:hAnsi="仿宋" w:eastAsia="仿宋" w:cs="Times New Roman"/>
          <w:sz w:val="28"/>
          <w:szCs w:val="28"/>
          <w:lang w:val="en-US" w:eastAsia="zh-CN"/>
        </w:rPr>
        <w:t>2</w:t>
      </w:r>
      <w:r>
        <w:rPr>
          <w:rFonts w:hint="eastAsia" w:ascii="仿宋" w:hAnsi="仿宋" w:eastAsia="仿宋" w:cs="Times New Roman"/>
          <w:sz w:val="28"/>
          <w:szCs w:val="28"/>
          <w:lang w:val="zh-CN" w:eastAsia="zh-CN"/>
        </w:rPr>
        <w:t>、本工程量清单所提供工程项目特征仅表达了主要工程做法，组价时依据设计图纸、相关图集，技术规范、图纸答疑等进行组价。</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cs="Times New Roman"/>
          <w:sz w:val="28"/>
          <w:szCs w:val="28"/>
          <w:lang w:val="en-US" w:eastAsia="zh-CN"/>
        </w:rPr>
        <w:t>3、本最高限价固定综合单价单价，已考虑下列费用：①砼浇筑现场运输、泵送</w:t>
      </w:r>
      <w:r>
        <w:rPr>
          <w:rFonts w:hint="eastAsia" w:ascii="仿宋" w:hAnsi="仿宋" w:eastAsia="仿宋"/>
          <w:sz w:val="28"/>
          <w:szCs w:val="28"/>
          <w:lang w:val="en-US" w:eastAsia="zh-CN"/>
        </w:rPr>
        <w:t>费用；②安全作业环境及安全施工措施费；③脚手架搭拆、等相关措施费用；④材料运输费用。</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4、根据</w:t>
      </w:r>
      <w:r>
        <w:rPr>
          <w:rFonts w:hint="default" w:ascii="仿宋" w:hAnsi="仿宋" w:eastAsia="仿宋"/>
          <w:sz w:val="28"/>
          <w:szCs w:val="28"/>
          <w:lang w:val="en-US" w:eastAsia="zh-CN"/>
        </w:rPr>
        <w:t>中华人民共和国住房和城乡建设部令第57号</w:t>
      </w:r>
      <w:r>
        <w:rPr>
          <w:rFonts w:hint="eastAsia" w:ascii="仿宋" w:hAnsi="仿宋" w:eastAsia="仿宋"/>
          <w:sz w:val="28"/>
          <w:szCs w:val="28"/>
          <w:lang w:val="en-US" w:eastAsia="zh-CN"/>
        </w:rPr>
        <w:t>，本工程措施项目中不包含检测试验相关费用，相关检测费用单独列支。</w:t>
      </w:r>
    </w:p>
    <w:p>
      <w:pPr>
        <w:pStyle w:val="5"/>
        <w:keepNext w:val="0"/>
        <w:keepLines w:val="0"/>
        <w:widowControl/>
        <w:suppressLineNumbers w:val="0"/>
        <w:spacing w:before="0" w:beforeAutospacing="0" w:after="0" w:afterAutospacing="0"/>
        <w:ind w:left="0" w:right="0" w:firstLine="560" w:firstLineChars="200"/>
        <w:rPr>
          <w:rFonts w:hint="eastAsia" w:ascii="仿宋" w:hAnsi="仿宋" w:eastAsia="仿宋" w:cs="Times New Roman"/>
          <w:kern w:val="2"/>
          <w:sz w:val="28"/>
          <w:szCs w:val="28"/>
          <w:lang w:val="en-US" w:eastAsia="zh-CN" w:bidi="ar-SA"/>
        </w:rPr>
      </w:pPr>
      <w:r>
        <w:rPr>
          <w:rFonts w:hint="eastAsia" w:ascii="仿宋" w:hAnsi="仿宋" w:eastAsia="仿宋"/>
          <w:sz w:val="28"/>
          <w:szCs w:val="28"/>
          <w:lang w:val="en-US" w:eastAsia="zh-CN"/>
        </w:rPr>
        <w:t>5、厕所拆除综合列为一宗，清单内容包</w:t>
      </w:r>
      <w:r>
        <w:rPr>
          <w:rFonts w:hint="eastAsia" w:ascii="仿宋" w:hAnsi="仿宋" w:eastAsia="仿宋" w:cs="Times New Roman"/>
          <w:kern w:val="2"/>
          <w:sz w:val="28"/>
          <w:szCs w:val="28"/>
          <w:lang w:val="en-US" w:eastAsia="zh-CN" w:bidi="ar-SA"/>
        </w:rPr>
        <w:t>含厕所内地面块料面层（拆除至垫层）、墙面块料面层（含梳妆镜）、电线管、给排水管、电线、天棚龙骨及饰面、卫生间隔断、砖砌体、蹲便器、小便器、化妆台、铝合金门等改造需要拆除的内容；垃圾清理装车外运。施工单位自主报价，开工后拆除内容不再现场确认工程量。</w:t>
      </w:r>
    </w:p>
    <w:p>
      <w:pPr>
        <w:pStyle w:val="5"/>
        <w:keepNext w:val="0"/>
        <w:keepLines w:val="0"/>
        <w:widowControl/>
        <w:suppressLineNumbers w:val="0"/>
        <w:spacing w:before="0" w:beforeAutospacing="0" w:after="0" w:afterAutospacing="0"/>
        <w:ind w:left="0" w:right="0" w:firstLine="560" w:firstLineChars="200"/>
        <w:rPr>
          <w:rFonts w:hint="default"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6、本工程不含暂列金。</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 xml:space="preserve">                                     </w:t>
      </w:r>
    </w:p>
    <w:p>
      <w:pPr>
        <w:pStyle w:val="2"/>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 xml:space="preserve">                                   </w:t>
      </w:r>
    </w:p>
    <w:p>
      <w:pPr>
        <w:pStyle w:val="5"/>
        <w:widowControl/>
        <w:spacing w:before="0" w:beforeAutospacing="0" w:after="0" w:afterAutospacing="0"/>
        <w:jc w:val="right"/>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 xml:space="preserve">南京宝色股份公司基建部 </w:t>
      </w:r>
    </w:p>
    <w:p>
      <w:pPr>
        <w:pStyle w:val="5"/>
        <w:widowControl/>
        <w:spacing w:before="0" w:beforeAutospacing="0" w:after="0" w:afterAutospacing="0"/>
        <w:jc w:val="right"/>
        <w:rPr>
          <w:rFonts w:hint="default"/>
          <w:lang w:val="en-US"/>
        </w:rPr>
      </w:pPr>
      <w:r>
        <w:rPr>
          <w:rFonts w:hint="eastAsia" w:ascii="仿宋" w:hAnsi="仿宋" w:eastAsia="仿宋" w:cs="Times New Roman"/>
          <w:sz w:val="28"/>
          <w:szCs w:val="28"/>
          <w:lang w:val="en-US" w:eastAsia="zh-CN"/>
        </w:rPr>
        <w:t>2023年9月2</w:t>
      </w:r>
      <w:bookmarkStart w:id="0" w:name="_GoBack"/>
      <w:r>
        <w:rPr>
          <w:rFonts w:hint="eastAsia" w:ascii="仿宋" w:hAnsi="仿宋" w:eastAsia="仿宋" w:cs="Times New Roman"/>
          <w:sz w:val="28"/>
          <w:szCs w:val="28"/>
          <w:lang w:val="en-US" w:eastAsia="zh-CN"/>
        </w:rPr>
        <w:t>7</w:t>
      </w:r>
      <w:bookmarkEnd w:id="0"/>
      <w:r>
        <w:rPr>
          <w:rFonts w:hint="eastAsia" w:ascii="仿宋" w:hAnsi="仿宋" w:eastAsia="仿宋" w:cs="Times New Roman"/>
          <w:sz w:val="28"/>
          <w:szCs w:val="28"/>
          <w:lang w:val="en-US" w:eastAsia="zh-CN"/>
        </w:rPr>
        <w:t>日</w:t>
      </w:r>
    </w:p>
    <w:sectPr>
      <w:headerReference r:id="rId3" w:type="default"/>
      <w:pgSz w:w="11906" w:h="16838"/>
      <w:pgMar w:top="1089" w:right="1800" w:bottom="1106"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000200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3ZThkMGMyNTYxOTQ0OWZkMzFhNjdkYmE5OTUzZjkifQ=="/>
  </w:docVars>
  <w:rsids>
    <w:rsidRoot w:val="239443AD"/>
    <w:rsid w:val="004B48CF"/>
    <w:rsid w:val="005A6ABE"/>
    <w:rsid w:val="033B4564"/>
    <w:rsid w:val="03960557"/>
    <w:rsid w:val="054E1F65"/>
    <w:rsid w:val="05605905"/>
    <w:rsid w:val="057D0911"/>
    <w:rsid w:val="061B4D44"/>
    <w:rsid w:val="061E5299"/>
    <w:rsid w:val="065A749C"/>
    <w:rsid w:val="067E46D9"/>
    <w:rsid w:val="06B50CF4"/>
    <w:rsid w:val="07054AC9"/>
    <w:rsid w:val="07CB1282"/>
    <w:rsid w:val="08021296"/>
    <w:rsid w:val="080D690E"/>
    <w:rsid w:val="08B27C74"/>
    <w:rsid w:val="0C8F5515"/>
    <w:rsid w:val="0DB70323"/>
    <w:rsid w:val="0DF30354"/>
    <w:rsid w:val="0E7A2719"/>
    <w:rsid w:val="0EC50FB3"/>
    <w:rsid w:val="0EC80158"/>
    <w:rsid w:val="0FCD3A37"/>
    <w:rsid w:val="110F5FA8"/>
    <w:rsid w:val="11933BEA"/>
    <w:rsid w:val="123E7CD9"/>
    <w:rsid w:val="134F5B57"/>
    <w:rsid w:val="137F388E"/>
    <w:rsid w:val="13A3034E"/>
    <w:rsid w:val="14180B15"/>
    <w:rsid w:val="15F7552C"/>
    <w:rsid w:val="170434D7"/>
    <w:rsid w:val="17946704"/>
    <w:rsid w:val="1ABF1CEA"/>
    <w:rsid w:val="1EEA4B41"/>
    <w:rsid w:val="1F3E21F4"/>
    <w:rsid w:val="1F8908A5"/>
    <w:rsid w:val="1FB262C1"/>
    <w:rsid w:val="208005BD"/>
    <w:rsid w:val="21731A80"/>
    <w:rsid w:val="21BC3E19"/>
    <w:rsid w:val="21BF42AC"/>
    <w:rsid w:val="21D267A7"/>
    <w:rsid w:val="22CF2CE6"/>
    <w:rsid w:val="235D506E"/>
    <w:rsid w:val="238D31A7"/>
    <w:rsid w:val="239443AD"/>
    <w:rsid w:val="23F949E9"/>
    <w:rsid w:val="240D54A2"/>
    <w:rsid w:val="2523593F"/>
    <w:rsid w:val="25496D80"/>
    <w:rsid w:val="272F1FA5"/>
    <w:rsid w:val="27EA250C"/>
    <w:rsid w:val="2868114F"/>
    <w:rsid w:val="28A8200F"/>
    <w:rsid w:val="28C84F08"/>
    <w:rsid w:val="29BD1AEA"/>
    <w:rsid w:val="29D8773C"/>
    <w:rsid w:val="2AB76F16"/>
    <w:rsid w:val="2D5B0497"/>
    <w:rsid w:val="2D62670D"/>
    <w:rsid w:val="2EB65882"/>
    <w:rsid w:val="2EFF697C"/>
    <w:rsid w:val="2F675DEF"/>
    <w:rsid w:val="30FF7253"/>
    <w:rsid w:val="341505B9"/>
    <w:rsid w:val="348A1163"/>
    <w:rsid w:val="348E47AF"/>
    <w:rsid w:val="34E22D4D"/>
    <w:rsid w:val="34F25146"/>
    <w:rsid w:val="3511718E"/>
    <w:rsid w:val="362B6C36"/>
    <w:rsid w:val="37054AD1"/>
    <w:rsid w:val="37104779"/>
    <w:rsid w:val="37276126"/>
    <w:rsid w:val="38303E2D"/>
    <w:rsid w:val="39343FF8"/>
    <w:rsid w:val="399B34CA"/>
    <w:rsid w:val="39CE0114"/>
    <w:rsid w:val="3A461688"/>
    <w:rsid w:val="3A702F07"/>
    <w:rsid w:val="3B7A6740"/>
    <w:rsid w:val="3CEB054F"/>
    <w:rsid w:val="3EB4016C"/>
    <w:rsid w:val="3EB42ACB"/>
    <w:rsid w:val="3ED371C5"/>
    <w:rsid w:val="3F433171"/>
    <w:rsid w:val="415F24CD"/>
    <w:rsid w:val="433C66BA"/>
    <w:rsid w:val="437B05F4"/>
    <w:rsid w:val="44FF0DB1"/>
    <w:rsid w:val="458042D5"/>
    <w:rsid w:val="45D466E2"/>
    <w:rsid w:val="45F14B9E"/>
    <w:rsid w:val="466B6C23"/>
    <w:rsid w:val="46E841F3"/>
    <w:rsid w:val="46EE0346"/>
    <w:rsid w:val="479911C1"/>
    <w:rsid w:val="494F1E74"/>
    <w:rsid w:val="4A253068"/>
    <w:rsid w:val="4A497A04"/>
    <w:rsid w:val="4B3A2B43"/>
    <w:rsid w:val="4B50212A"/>
    <w:rsid w:val="4BD752EB"/>
    <w:rsid w:val="4C2A0270"/>
    <w:rsid w:val="4D896C0D"/>
    <w:rsid w:val="4D9B3D52"/>
    <w:rsid w:val="4DF46A22"/>
    <w:rsid w:val="4E650A75"/>
    <w:rsid w:val="501763DD"/>
    <w:rsid w:val="50DC644B"/>
    <w:rsid w:val="53857743"/>
    <w:rsid w:val="54780C03"/>
    <w:rsid w:val="5582760C"/>
    <w:rsid w:val="56D31DF7"/>
    <w:rsid w:val="595A71A9"/>
    <w:rsid w:val="59903055"/>
    <w:rsid w:val="599471D1"/>
    <w:rsid w:val="5A3F0176"/>
    <w:rsid w:val="5C8E617B"/>
    <w:rsid w:val="5C9624C9"/>
    <w:rsid w:val="5E333D11"/>
    <w:rsid w:val="5ED6597D"/>
    <w:rsid w:val="5FBC7B73"/>
    <w:rsid w:val="60A644EA"/>
    <w:rsid w:val="61C80A51"/>
    <w:rsid w:val="61CB22EF"/>
    <w:rsid w:val="62830E1C"/>
    <w:rsid w:val="649C166D"/>
    <w:rsid w:val="64C328B8"/>
    <w:rsid w:val="64CD0918"/>
    <w:rsid w:val="65A03158"/>
    <w:rsid w:val="66A400AB"/>
    <w:rsid w:val="677E1BB2"/>
    <w:rsid w:val="67BD2434"/>
    <w:rsid w:val="67BE078B"/>
    <w:rsid w:val="68864D29"/>
    <w:rsid w:val="691604B4"/>
    <w:rsid w:val="69670146"/>
    <w:rsid w:val="69BE2739"/>
    <w:rsid w:val="6A271AE0"/>
    <w:rsid w:val="6AB64F8A"/>
    <w:rsid w:val="6BCD0E1F"/>
    <w:rsid w:val="6C4258E3"/>
    <w:rsid w:val="6C57047C"/>
    <w:rsid w:val="6D1F2204"/>
    <w:rsid w:val="6D205BE5"/>
    <w:rsid w:val="6DB93944"/>
    <w:rsid w:val="6E46438A"/>
    <w:rsid w:val="6EC353C5"/>
    <w:rsid w:val="6F882A33"/>
    <w:rsid w:val="705859EE"/>
    <w:rsid w:val="707814B8"/>
    <w:rsid w:val="70801010"/>
    <w:rsid w:val="722F288D"/>
    <w:rsid w:val="733F0D8F"/>
    <w:rsid w:val="736B56E0"/>
    <w:rsid w:val="737946A5"/>
    <w:rsid w:val="73B02708"/>
    <w:rsid w:val="73DF7FD4"/>
    <w:rsid w:val="740F42BD"/>
    <w:rsid w:val="74113FC8"/>
    <w:rsid w:val="745251C2"/>
    <w:rsid w:val="74DE1222"/>
    <w:rsid w:val="75B93730"/>
    <w:rsid w:val="76C051F8"/>
    <w:rsid w:val="76DF70B2"/>
    <w:rsid w:val="77591FAA"/>
    <w:rsid w:val="7785444C"/>
    <w:rsid w:val="7799128A"/>
    <w:rsid w:val="77D76799"/>
    <w:rsid w:val="7A805C51"/>
    <w:rsid w:val="7E2D5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4">
    <w:name w:val="header"/>
    <w:basedOn w:val="1"/>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5">
    <w:name w:val="Normal (Web)"/>
    <w:basedOn w:val="1"/>
    <w:qFormat/>
    <w:uiPriority w:val="99"/>
    <w:pPr>
      <w:spacing w:before="100" w:beforeAutospacing="1" w:after="100" w:afterAutospacing="1"/>
      <w:jc w:val="left"/>
    </w:pPr>
    <w:rPr>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1366</Words>
  <Characters>1519</Characters>
  <Lines>0</Lines>
  <Paragraphs>0</Paragraphs>
  <TotalTime>6</TotalTime>
  <ScaleCrop>false</ScaleCrop>
  <LinksUpToDate>false</LinksUpToDate>
  <CharactersWithSpaces>1519</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2020-06-10T01:36:00Z</dcterms:created>
  <dc:creator>小芒果</dc:creator>
  <cp:lastModifiedBy>admin</cp:lastModifiedBy>
  <cp:lastPrinted>2023-03-10T02:38:00Z</cp:lastPrinted>
  <dcterms:modified xsi:type="dcterms:W3CDTF">2023-09-28T01:04:09Z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y fmtid="{D5CDD505-2E9C-101B-9397-08002B2CF9AE}" pid="3" name="ICV">
    <vt:lpwstr>22C4B35CB4394CB38CC17C717BEB5007</vt:lpwstr>
  </property>
</Properties>
</file>